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4D0A" w:rsidRPr="00A84A2C" w:rsidRDefault="005B4D0A" w:rsidP="005B4D0A">
      <w:pPr>
        <w:spacing w:line="360" w:lineRule="auto"/>
        <w:rPr>
          <w:rFonts w:cs="David" w:hint="cs"/>
          <w:sz w:val="24"/>
          <w:rtl/>
        </w:rPr>
      </w:pPr>
    </w:p>
    <w:p w:rsidR="005B4D0A" w:rsidRPr="00A84A2C" w:rsidRDefault="005B4D0A" w:rsidP="005B4D0A">
      <w:pPr>
        <w:spacing w:line="360" w:lineRule="auto"/>
        <w:ind w:left="7228"/>
        <w:rPr>
          <w:rFonts w:cs="David"/>
          <w:sz w:val="24"/>
          <w:rtl/>
        </w:rPr>
      </w:pPr>
      <w:bookmarkStart w:id="0" w:name="Date"/>
      <w:bookmarkEnd w:id="0"/>
      <w:r w:rsidRPr="00A84A2C">
        <w:rPr>
          <w:rFonts w:cs="David"/>
          <w:sz w:val="24"/>
          <w:rtl/>
        </w:rPr>
        <w:t xml:space="preserve">כ' בטבת </w:t>
      </w:r>
      <w:proofErr w:type="spellStart"/>
      <w:r w:rsidRPr="00A84A2C">
        <w:rPr>
          <w:rFonts w:cs="David"/>
          <w:sz w:val="24"/>
          <w:rtl/>
        </w:rPr>
        <w:t>התשע"ה</w:t>
      </w:r>
      <w:proofErr w:type="spellEnd"/>
      <w:r w:rsidRPr="00A84A2C">
        <w:rPr>
          <w:rFonts w:cs="David"/>
          <w:sz w:val="24"/>
          <w:rtl/>
        </w:rPr>
        <w:br/>
      </w:r>
      <w:bookmarkStart w:id="1" w:name="_GoBack"/>
      <w:r w:rsidRPr="00A84A2C">
        <w:rPr>
          <w:rFonts w:cs="David"/>
          <w:sz w:val="24"/>
          <w:rtl/>
        </w:rPr>
        <w:t>11 בינואר 2015</w:t>
      </w:r>
    </w:p>
    <w:p w:rsidR="005B4D0A" w:rsidRPr="00A84A2C" w:rsidRDefault="005B4D0A" w:rsidP="005B4D0A">
      <w:pPr>
        <w:spacing w:line="360" w:lineRule="auto"/>
        <w:ind w:left="7228"/>
        <w:rPr>
          <w:rFonts w:cs="David"/>
          <w:sz w:val="24"/>
          <w:rtl/>
        </w:rPr>
      </w:pPr>
      <w:bookmarkStart w:id="2" w:name="DocNum"/>
      <w:bookmarkEnd w:id="2"/>
      <w:bookmarkEnd w:id="1"/>
      <w:r w:rsidRPr="00A84A2C">
        <w:rPr>
          <w:rFonts w:cs="David"/>
          <w:sz w:val="24"/>
          <w:rtl/>
        </w:rPr>
        <w:t>מל. 2015-482</w:t>
      </w:r>
    </w:p>
    <w:p w:rsidR="005B4D0A" w:rsidRPr="00A84A2C" w:rsidRDefault="005B4D0A" w:rsidP="005B4D0A">
      <w:pPr>
        <w:spacing w:line="360" w:lineRule="auto"/>
        <w:rPr>
          <w:rFonts w:cs="David"/>
          <w:sz w:val="24"/>
          <w:rtl/>
        </w:rPr>
      </w:pPr>
    </w:p>
    <w:p w:rsidR="005B4D0A" w:rsidRPr="00A84A2C" w:rsidRDefault="005B4D0A" w:rsidP="005B4D0A">
      <w:pPr>
        <w:spacing w:line="360" w:lineRule="auto"/>
        <w:rPr>
          <w:rFonts w:cs="David"/>
          <w:sz w:val="24"/>
          <w:rtl/>
        </w:rPr>
      </w:pPr>
      <w:r w:rsidRPr="00A84A2C">
        <w:rPr>
          <w:rFonts w:cs="David" w:hint="cs"/>
          <w:sz w:val="24"/>
          <w:rtl/>
        </w:rPr>
        <w:t>אל:</w:t>
      </w:r>
    </w:p>
    <w:p w:rsidR="005B4D0A" w:rsidRPr="00A84A2C" w:rsidRDefault="005B4D0A" w:rsidP="005B4D0A">
      <w:pPr>
        <w:spacing w:line="360" w:lineRule="auto"/>
        <w:rPr>
          <w:rFonts w:cs="David"/>
          <w:sz w:val="24"/>
          <w:rtl/>
        </w:rPr>
      </w:pPr>
      <w:bookmarkStart w:id="3" w:name="MainToEl"/>
      <w:bookmarkEnd w:id="3"/>
      <w:r w:rsidRPr="00A84A2C">
        <w:rPr>
          <w:rFonts w:cs="David"/>
          <w:sz w:val="24"/>
          <w:rtl/>
        </w:rPr>
        <w:t>ועדת המכרזים המשרדית</w:t>
      </w:r>
    </w:p>
    <w:p w:rsidR="005B4D0A" w:rsidRPr="00A84A2C" w:rsidRDefault="005B4D0A" w:rsidP="005B4D0A">
      <w:pPr>
        <w:spacing w:line="360" w:lineRule="auto"/>
        <w:rPr>
          <w:rFonts w:cs="David"/>
          <w:sz w:val="24"/>
          <w:rtl/>
        </w:rPr>
      </w:pPr>
    </w:p>
    <w:p w:rsidR="005B4D0A" w:rsidRPr="00A84A2C" w:rsidRDefault="005B4D0A" w:rsidP="005B4D0A">
      <w:pPr>
        <w:spacing w:line="360" w:lineRule="auto"/>
        <w:ind w:left="566" w:hanging="567"/>
        <w:jc w:val="center"/>
        <w:rPr>
          <w:rFonts w:cs="David"/>
          <w:b/>
          <w:bCs/>
          <w:sz w:val="24"/>
          <w:u w:val="single"/>
          <w:rtl/>
        </w:rPr>
      </w:pPr>
      <w:r w:rsidRPr="00A84A2C">
        <w:rPr>
          <w:rFonts w:cs="David" w:hint="cs"/>
          <w:sz w:val="24"/>
          <w:rtl/>
        </w:rPr>
        <w:t>הנדון:</w:t>
      </w:r>
      <w:r w:rsidRPr="00A84A2C">
        <w:rPr>
          <w:rFonts w:cs="David" w:hint="cs"/>
          <w:b/>
          <w:bCs/>
          <w:sz w:val="24"/>
          <w:u w:val="single"/>
          <w:rtl/>
        </w:rPr>
        <w:t xml:space="preserve"> </w:t>
      </w:r>
      <w:bookmarkStart w:id="4" w:name="About"/>
      <w:bookmarkEnd w:id="4"/>
      <w:r w:rsidRPr="00A84A2C">
        <w:rPr>
          <w:rFonts w:cs="David" w:hint="eastAsia"/>
          <w:b/>
          <w:bCs/>
          <w:sz w:val="24"/>
          <w:u w:val="single"/>
          <w:rtl/>
        </w:rPr>
        <w:t>בקשה</w:t>
      </w:r>
      <w:r w:rsidRPr="00A84A2C">
        <w:rPr>
          <w:rFonts w:cs="David"/>
          <w:b/>
          <w:bCs/>
          <w:sz w:val="24"/>
          <w:u w:val="single"/>
          <w:rtl/>
        </w:rPr>
        <w:t xml:space="preserve"> לתוספת מנוי חניה בחניון "מגדל הנביאים" בגבעת שאול</w:t>
      </w:r>
    </w:p>
    <w:p w:rsidR="005B4D0A" w:rsidRDefault="005B4D0A" w:rsidP="005B4D0A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rtl/>
          <w:lang w:eastAsia="he-IL"/>
        </w:rPr>
      </w:pPr>
      <w:bookmarkStart w:id="5" w:name="Reference"/>
      <w:bookmarkStart w:id="6" w:name="tochen1"/>
      <w:bookmarkEnd w:id="5"/>
    </w:p>
    <w:p w:rsidR="005B4D0A" w:rsidRPr="00A84A2C" w:rsidRDefault="005B4D0A" w:rsidP="005B4D0A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rtl/>
          <w:lang w:eastAsia="he-IL"/>
        </w:rPr>
      </w:pPr>
      <w:r w:rsidRPr="00D02C84">
        <w:rPr>
          <w:rFonts w:cs="David"/>
          <w:sz w:val="24"/>
          <w:rtl/>
          <w:lang w:eastAsia="he-IL"/>
        </w:rPr>
        <w:t xml:space="preserve">בשל שינויים ארגוניים ומבניים הנעשים במשרד הראשי, קיים צורך בהעברת 2 עובדי הארכיב/דואר לבניין "מגדל הנביאים". </w:t>
      </w:r>
      <w:r w:rsidRPr="00D02C84">
        <w:rPr>
          <w:rFonts w:cs="David" w:hint="cs"/>
          <w:sz w:val="24"/>
          <w:rtl/>
          <w:lang w:eastAsia="he-IL"/>
        </w:rPr>
        <w:t xml:space="preserve">עובדי הארכיב משתמשים ברכב איגום </w:t>
      </w:r>
      <w:r>
        <w:rPr>
          <w:rFonts w:cs="David" w:hint="cs"/>
          <w:sz w:val="24"/>
          <w:rtl/>
          <w:lang w:eastAsia="he-IL"/>
        </w:rPr>
        <w:t>לטובת</w:t>
      </w:r>
      <w:r w:rsidRPr="00D02C84">
        <w:rPr>
          <w:rFonts w:cs="David" w:hint="cs"/>
          <w:sz w:val="24"/>
          <w:rtl/>
          <w:lang w:eastAsia="he-IL"/>
        </w:rPr>
        <w:t xml:space="preserve"> </w:t>
      </w:r>
      <w:r w:rsidRPr="00A84A2C">
        <w:rPr>
          <w:rFonts w:cs="David" w:hint="cs"/>
          <w:sz w:val="24"/>
          <w:rtl/>
          <w:lang w:eastAsia="he-IL"/>
        </w:rPr>
        <w:t xml:space="preserve">פריקה וטעינה של  דברי דואר וחבילות לצורך </w:t>
      </w:r>
      <w:r w:rsidRPr="00D02C84">
        <w:rPr>
          <w:rFonts w:cs="David" w:hint="cs"/>
          <w:sz w:val="24"/>
          <w:rtl/>
          <w:lang w:eastAsia="he-IL"/>
        </w:rPr>
        <w:t>העברתם בין היחידות השונות.</w:t>
      </w:r>
      <w:r w:rsidRPr="00A84A2C">
        <w:rPr>
          <w:rFonts w:cs="David" w:hint="cs"/>
          <w:sz w:val="24"/>
          <w:rtl/>
          <w:lang w:eastAsia="he-IL"/>
        </w:rPr>
        <w:t xml:space="preserve"> </w:t>
      </w:r>
      <w:r w:rsidRPr="00D02C84">
        <w:rPr>
          <w:rFonts w:cs="David"/>
          <w:sz w:val="24"/>
          <w:rtl/>
          <w:lang w:eastAsia="he-IL"/>
        </w:rPr>
        <w:t xml:space="preserve">על כן, </w:t>
      </w:r>
      <w:r>
        <w:rPr>
          <w:rFonts w:cs="David" w:hint="cs"/>
          <w:sz w:val="24"/>
          <w:rtl/>
          <w:lang w:eastAsia="he-IL"/>
        </w:rPr>
        <w:t>הכרחי</w:t>
      </w:r>
      <w:r w:rsidRPr="00A84A2C">
        <w:rPr>
          <w:rFonts w:cs="David" w:hint="cs"/>
          <w:sz w:val="24"/>
          <w:rtl/>
          <w:lang w:eastAsia="he-IL"/>
        </w:rPr>
        <w:t xml:space="preserve"> להחנות את רכב האיגום בחניה הממוקמת מתחת לבניין</w:t>
      </w:r>
      <w:r>
        <w:rPr>
          <w:rFonts w:cs="David" w:hint="cs"/>
          <w:sz w:val="24"/>
          <w:rtl/>
          <w:lang w:eastAsia="he-IL"/>
        </w:rPr>
        <w:t xml:space="preserve"> וממנה ישנה מעלית ישרות לבניין וזאת</w:t>
      </w:r>
      <w:r w:rsidRPr="00A84A2C">
        <w:rPr>
          <w:rFonts w:cs="David" w:hint="cs"/>
          <w:sz w:val="24"/>
          <w:rtl/>
          <w:lang w:eastAsia="he-IL"/>
        </w:rPr>
        <w:t xml:space="preserve"> מכיוון שהעבודה כרוכה בהעמסת שקי דואר וחבילות בעלות משקל רב.</w:t>
      </w:r>
    </w:p>
    <w:p w:rsidR="005B4D0A" w:rsidRDefault="005B4D0A" w:rsidP="005B4D0A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rtl/>
          <w:lang w:eastAsia="he-IL"/>
        </w:rPr>
      </w:pPr>
    </w:p>
    <w:p w:rsidR="005B4D0A" w:rsidRDefault="005B4D0A" w:rsidP="005B4D0A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rtl/>
          <w:lang w:eastAsia="he-IL"/>
        </w:rPr>
      </w:pPr>
      <w:r>
        <w:rPr>
          <w:rFonts w:cs="David" w:hint="cs"/>
          <w:sz w:val="24"/>
          <w:rtl/>
          <w:lang w:eastAsia="he-IL"/>
        </w:rPr>
        <w:t>חניון מגדל הנביאים הינו החניון היחידי הממוקם מתחת לבניין מגדל הנביאים ועל כן הוא ספק יחיד במקרה זה.</w:t>
      </w:r>
    </w:p>
    <w:p w:rsidR="005B4D0A" w:rsidRPr="00A84A2C" w:rsidRDefault="005B4D0A" w:rsidP="005B4D0A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rtl/>
          <w:lang w:eastAsia="he-IL"/>
        </w:rPr>
      </w:pPr>
    </w:p>
    <w:p w:rsidR="005B4D0A" w:rsidRPr="00D02C84" w:rsidRDefault="005B4D0A" w:rsidP="005B4D0A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rtl/>
          <w:lang w:eastAsia="he-IL"/>
        </w:rPr>
      </w:pPr>
      <w:r w:rsidRPr="00D02C84">
        <w:rPr>
          <w:rFonts w:cs="David"/>
          <w:sz w:val="24"/>
          <w:rtl/>
          <w:lang w:eastAsia="he-IL"/>
        </w:rPr>
        <w:t>עלות</w:t>
      </w:r>
      <w:r w:rsidRPr="00A84A2C">
        <w:rPr>
          <w:rFonts w:cs="David" w:hint="cs"/>
          <w:sz w:val="24"/>
          <w:rtl/>
          <w:lang w:eastAsia="he-IL"/>
        </w:rPr>
        <w:t xml:space="preserve"> חודשית</w:t>
      </w:r>
      <w:r w:rsidRPr="00D02C84">
        <w:rPr>
          <w:rFonts w:cs="David" w:hint="cs"/>
          <w:sz w:val="24"/>
          <w:rtl/>
          <w:lang w:eastAsia="he-IL"/>
        </w:rPr>
        <w:t xml:space="preserve"> של</w:t>
      </w:r>
      <w:r w:rsidRPr="00A84A2C">
        <w:rPr>
          <w:rFonts w:cs="David" w:hint="cs"/>
          <w:sz w:val="24"/>
          <w:rtl/>
          <w:lang w:eastAsia="he-IL"/>
        </w:rPr>
        <w:t xml:space="preserve"> מנוי חניה בחניון מגדל הנביאים</w:t>
      </w:r>
      <w:r>
        <w:rPr>
          <w:rFonts w:cs="David" w:hint="cs"/>
          <w:sz w:val="24"/>
          <w:rtl/>
          <w:lang w:eastAsia="he-IL"/>
        </w:rPr>
        <w:t>, מעבר למכסה של 50 מקומות חניה (הקיימת כיום למשרד בהתקשרות נפרדת) היא,</w:t>
      </w:r>
      <w:r w:rsidRPr="00D02C84">
        <w:rPr>
          <w:rFonts w:cs="David" w:hint="cs"/>
          <w:sz w:val="24"/>
          <w:rtl/>
          <w:lang w:eastAsia="he-IL"/>
        </w:rPr>
        <w:t xml:space="preserve"> 600 ₪ לא כול</w:t>
      </w:r>
      <w:r w:rsidRPr="00A84A2C">
        <w:rPr>
          <w:rFonts w:cs="David" w:hint="cs"/>
          <w:sz w:val="24"/>
          <w:rtl/>
          <w:lang w:eastAsia="he-IL"/>
        </w:rPr>
        <w:t>ל מע"מ לחודש (72</w:t>
      </w:r>
      <w:r w:rsidRPr="00D02C84">
        <w:rPr>
          <w:rFonts w:cs="David" w:hint="cs"/>
          <w:sz w:val="24"/>
          <w:rtl/>
          <w:lang w:eastAsia="he-IL"/>
        </w:rPr>
        <w:t>00 ₪ לא כולל מע"מ לשנה).</w:t>
      </w:r>
      <w:r w:rsidRPr="00D02C84">
        <w:rPr>
          <w:rFonts w:cs="David"/>
          <w:sz w:val="24"/>
          <w:rtl/>
          <w:lang w:eastAsia="he-IL"/>
        </w:rPr>
        <w:t xml:space="preserve"> </w:t>
      </w:r>
    </w:p>
    <w:p w:rsidR="005B4D0A" w:rsidRPr="00D02C84" w:rsidRDefault="005B4D0A" w:rsidP="005B4D0A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rtl/>
          <w:lang w:eastAsia="he-IL"/>
        </w:rPr>
      </w:pPr>
    </w:p>
    <w:p w:rsidR="005B4D0A" w:rsidRPr="00D02C84" w:rsidRDefault="005B4D0A" w:rsidP="005B4D0A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rtl/>
          <w:lang w:eastAsia="he-IL"/>
        </w:rPr>
      </w:pPr>
      <w:r w:rsidRPr="00D02C84">
        <w:rPr>
          <w:rFonts w:cs="David" w:hint="cs"/>
          <w:sz w:val="24"/>
          <w:rtl/>
          <w:lang w:eastAsia="he-IL"/>
        </w:rPr>
        <w:t xml:space="preserve">ועדת המכרזים מתבקשת לאשר את ההתקשרות עם חניון "מגדל הנביאים" עבור מנוי חניה בעלות של </w:t>
      </w:r>
      <w:r w:rsidRPr="00A84A2C">
        <w:rPr>
          <w:rFonts w:cs="David" w:hint="cs"/>
          <w:sz w:val="24"/>
          <w:rtl/>
          <w:lang w:eastAsia="he-IL"/>
        </w:rPr>
        <w:t xml:space="preserve">80,000 ₪ </w:t>
      </w:r>
      <w:r w:rsidRPr="00D02C84">
        <w:rPr>
          <w:rFonts w:cs="David" w:hint="cs"/>
          <w:sz w:val="24"/>
          <w:rtl/>
          <w:lang w:eastAsia="he-IL"/>
        </w:rPr>
        <w:t>כולל מע"מ עבור רכב האיגום של עובדי הארכיב</w:t>
      </w:r>
      <w:r w:rsidRPr="00A84A2C">
        <w:rPr>
          <w:rFonts w:cs="David" w:hint="cs"/>
          <w:sz w:val="24"/>
          <w:rtl/>
          <w:lang w:eastAsia="he-IL"/>
        </w:rPr>
        <w:t xml:space="preserve"> לתקופה החל מיום 1 בפברואר 2015 ועד ליום 31.12.15, עם 8 אופציות</w:t>
      </w:r>
      <w:r>
        <w:rPr>
          <w:rFonts w:cs="David" w:hint="cs"/>
          <w:sz w:val="24"/>
          <w:rtl/>
          <w:lang w:eastAsia="he-IL"/>
        </w:rPr>
        <w:t xml:space="preserve"> נוספות להארכת ההתקשרות</w:t>
      </w:r>
      <w:r w:rsidRPr="00A84A2C">
        <w:rPr>
          <w:rFonts w:cs="David" w:hint="cs"/>
          <w:sz w:val="24"/>
          <w:rtl/>
          <w:lang w:eastAsia="he-IL"/>
        </w:rPr>
        <w:t xml:space="preserve"> בנות שנה כל אחת</w:t>
      </w:r>
      <w:r w:rsidRPr="00D02C84">
        <w:rPr>
          <w:rFonts w:cs="David" w:hint="cs"/>
          <w:sz w:val="24"/>
          <w:rtl/>
          <w:lang w:eastAsia="he-IL"/>
        </w:rPr>
        <w:t>.</w:t>
      </w:r>
    </w:p>
    <w:bookmarkEnd w:id="6"/>
    <w:p w:rsidR="005B4D0A" w:rsidRPr="00A84A2C" w:rsidRDefault="005B4D0A" w:rsidP="005B4D0A">
      <w:pPr>
        <w:spacing w:line="360" w:lineRule="auto"/>
        <w:jc w:val="both"/>
        <w:rPr>
          <w:rFonts w:cs="David"/>
          <w:sz w:val="24"/>
          <w:rtl/>
        </w:rPr>
      </w:pPr>
    </w:p>
    <w:p w:rsidR="005B4D0A" w:rsidRPr="00A84A2C" w:rsidRDefault="005B4D0A" w:rsidP="005B4D0A">
      <w:pPr>
        <w:spacing w:line="360" w:lineRule="auto"/>
        <w:jc w:val="both"/>
        <w:rPr>
          <w:rFonts w:cs="David"/>
          <w:sz w:val="24"/>
          <w:rtl/>
        </w:rPr>
      </w:pPr>
    </w:p>
    <w:p w:rsidR="005B4D0A" w:rsidRPr="00A84A2C" w:rsidRDefault="005B4D0A" w:rsidP="005B4D0A">
      <w:pPr>
        <w:spacing w:line="360" w:lineRule="auto"/>
        <w:jc w:val="both"/>
        <w:rPr>
          <w:rFonts w:cs="David"/>
          <w:sz w:val="24"/>
          <w:rtl/>
        </w:rPr>
      </w:pP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  <w:t xml:space="preserve">  בברכה,</w:t>
      </w:r>
    </w:p>
    <w:p w:rsidR="005B4D0A" w:rsidRPr="00A84A2C" w:rsidRDefault="005B4D0A" w:rsidP="005B4D0A">
      <w:pPr>
        <w:spacing w:line="360" w:lineRule="auto"/>
        <w:jc w:val="both"/>
        <w:rPr>
          <w:rFonts w:cs="David"/>
          <w:sz w:val="24"/>
          <w:rtl/>
        </w:rPr>
      </w:pPr>
      <w:r w:rsidRPr="00A84A2C">
        <w:rPr>
          <w:rFonts w:cs="David" w:hint="cs"/>
          <w:sz w:val="24"/>
          <w:rtl/>
        </w:rPr>
        <w:t xml:space="preserve">          </w:t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proofErr w:type="spellStart"/>
      <w:r w:rsidRPr="00A84A2C">
        <w:rPr>
          <w:rFonts w:cs="David" w:hint="cs"/>
          <w:sz w:val="24"/>
          <w:rtl/>
        </w:rPr>
        <w:t>אנייס</w:t>
      </w:r>
      <w:proofErr w:type="spellEnd"/>
      <w:r w:rsidRPr="00A84A2C">
        <w:rPr>
          <w:rFonts w:cs="David" w:hint="cs"/>
          <w:sz w:val="24"/>
          <w:rtl/>
        </w:rPr>
        <w:t xml:space="preserve"> גורן</w:t>
      </w:r>
    </w:p>
    <w:p w:rsidR="005B4D0A" w:rsidRPr="00A84A2C" w:rsidRDefault="005B4D0A" w:rsidP="005B4D0A">
      <w:pPr>
        <w:spacing w:line="360" w:lineRule="auto"/>
        <w:jc w:val="both"/>
        <w:rPr>
          <w:rFonts w:cs="David"/>
          <w:sz w:val="24"/>
          <w:rtl/>
        </w:rPr>
      </w:pP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</w:r>
      <w:r w:rsidRPr="00A84A2C">
        <w:rPr>
          <w:rFonts w:cs="David" w:hint="cs"/>
          <w:sz w:val="24"/>
          <w:rtl/>
        </w:rPr>
        <w:tab/>
        <w:t>מרכזת בכירה תיאום ומעקב</w:t>
      </w:r>
    </w:p>
    <w:p w:rsidR="005B4D0A" w:rsidRPr="00A84A2C" w:rsidRDefault="005B4D0A" w:rsidP="005B4D0A">
      <w:pPr>
        <w:spacing w:line="360" w:lineRule="auto"/>
        <w:jc w:val="both"/>
        <w:rPr>
          <w:rFonts w:cs="David"/>
          <w:sz w:val="24"/>
          <w:rtl/>
        </w:rPr>
      </w:pPr>
    </w:p>
    <w:p w:rsidR="005B4D0A" w:rsidRPr="00A84A2C" w:rsidRDefault="005B4D0A" w:rsidP="005B4D0A">
      <w:pPr>
        <w:tabs>
          <w:tab w:val="left" w:pos="3401"/>
          <w:tab w:val="center" w:pos="6094"/>
        </w:tabs>
        <w:spacing w:line="360" w:lineRule="auto"/>
        <w:rPr>
          <w:rFonts w:cs="David"/>
          <w:sz w:val="24"/>
          <w:rtl/>
        </w:rPr>
      </w:pPr>
    </w:p>
    <w:p w:rsidR="005B4D0A" w:rsidRPr="00A84A2C" w:rsidRDefault="005B4D0A" w:rsidP="005B4D0A">
      <w:pPr>
        <w:tabs>
          <w:tab w:val="left" w:pos="3401"/>
          <w:tab w:val="center" w:pos="6094"/>
        </w:tabs>
        <w:spacing w:line="360" w:lineRule="auto"/>
        <w:rPr>
          <w:rFonts w:cs="David"/>
          <w:sz w:val="24"/>
          <w:rtl/>
        </w:rPr>
      </w:pPr>
      <w:r w:rsidRPr="00A84A2C">
        <w:rPr>
          <w:rFonts w:cs="David" w:hint="cs"/>
          <w:sz w:val="24"/>
          <w:rtl/>
        </w:rPr>
        <w:t>העתק:</w:t>
      </w:r>
    </w:p>
    <w:p w:rsidR="005B4D0A" w:rsidRPr="00A84A2C" w:rsidRDefault="005B4D0A" w:rsidP="005B4D0A">
      <w:pPr>
        <w:tabs>
          <w:tab w:val="left" w:pos="3401"/>
          <w:tab w:val="center" w:pos="6094"/>
        </w:tabs>
        <w:spacing w:line="360" w:lineRule="auto"/>
        <w:rPr>
          <w:rFonts w:cs="David"/>
          <w:sz w:val="24"/>
          <w:rtl/>
        </w:rPr>
      </w:pPr>
      <w:bookmarkStart w:id="7" w:name="OtherTo"/>
      <w:bookmarkEnd w:id="7"/>
    </w:p>
    <w:p w:rsidR="005B4D0A" w:rsidRPr="00A84A2C" w:rsidRDefault="005B4D0A" w:rsidP="005B4D0A">
      <w:pPr>
        <w:spacing w:line="360" w:lineRule="auto"/>
        <w:rPr>
          <w:rFonts w:cs="David"/>
          <w:sz w:val="24"/>
        </w:rPr>
      </w:pPr>
    </w:p>
    <w:p w:rsidR="005B4D0A" w:rsidRPr="00A84A2C" w:rsidRDefault="005B4D0A" w:rsidP="005B4D0A">
      <w:pPr>
        <w:spacing w:line="360" w:lineRule="auto"/>
        <w:rPr>
          <w:rFonts w:cs="David"/>
          <w:sz w:val="24"/>
        </w:rPr>
      </w:pPr>
    </w:p>
    <w:p w:rsidR="005B4D0A" w:rsidRPr="00A84A2C" w:rsidRDefault="005B4D0A" w:rsidP="005B4D0A">
      <w:pPr>
        <w:tabs>
          <w:tab w:val="left" w:pos="3683"/>
        </w:tabs>
        <w:spacing w:line="360" w:lineRule="auto"/>
        <w:rPr>
          <w:rFonts w:cs="David"/>
          <w:sz w:val="24"/>
          <w:rtl/>
        </w:rPr>
      </w:pPr>
      <w:r w:rsidRPr="00A84A2C">
        <w:rPr>
          <w:rFonts w:cs="David" w:hint="cs"/>
          <w:sz w:val="24"/>
          <w:rtl/>
        </w:rPr>
        <w:br/>
      </w:r>
    </w:p>
    <w:p w:rsidR="005B4D0A" w:rsidRPr="00A84A2C" w:rsidRDefault="005B4D0A" w:rsidP="005B4D0A">
      <w:pPr>
        <w:widowControl/>
        <w:bidi w:val="0"/>
        <w:spacing w:line="360" w:lineRule="auto"/>
        <w:rPr>
          <w:rFonts w:cs="David"/>
          <w:sz w:val="24"/>
          <w:rtl/>
        </w:rPr>
      </w:pPr>
    </w:p>
    <w:p w:rsidR="005B4D0A" w:rsidRPr="00A84A2C" w:rsidRDefault="005B4D0A" w:rsidP="005B4D0A">
      <w:pPr>
        <w:widowControl/>
        <w:bidi w:val="0"/>
        <w:spacing w:line="360" w:lineRule="auto"/>
        <w:rPr>
          <w:rFonts w:cs="David"/>
          <w:sz w:val="24"/>
        </w:rPr>
      </w:pPr>
    </w:p>
    <w:p w:rsidR="00F975CB" w:rsidRPr="00F975CB" w:rsidRDefault="00F975CB" w:rsidP="00F975CB"/>
    <w:sectPr w:rsidR="00F975CB" w:rsidRPr="00F975CB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5B4D0A" w:rsidP="001E7080">
    <w:pPr>
      <w:pStyle w:val="aa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7EDDB307" wp14:editId="1A29FCAC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5B4D0A" w:rsidP="001E7080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08322F32" wp14:editId="08494252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5B4D0A" w:rsidP="00C424D1">
    <w:pPr>
      <w:pStyle w:val="a8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5B4D0A" w:rsidP="00C424D1">
    <w:pPr>
      <w:pStyle w:val="a8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4D0A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B4D0A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4D0A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 w:cs="David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 w:cs="David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 w:cs="David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 w:cs="David"/>
      <w:b/>
      <w:bCs/>
      <w:caps/>
      <w:spacing w:val="10"/>
      <w:sz w:val="24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 w:cs="David"/>
      <w:b/>
      <w:bCs/>
      <w:caps/>
      <w:spacing w:val="10"/>
      <w:sz w:val="24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 w:cs="David"/>
      <w:b/>
      <w:bCs/>
      <w:caps/>
      <w:spacing w:val="10"/>
      <w:sz w:val="24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 w:cs="David"/>
      <w:b/>
      <w:bCs/>
      <w:caps/>
      <w:spacing w:val="10"/>
      <w:sz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 w:cs="David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 w:cs="David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 w:cs="David"/>
      <w:i/>
      <w:iCs/>
      <w:sz w:val="24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 w:cs="David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 w:cs="David"/>
      <w:sz w:val="24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 w:cs="David"/>
      <w:sz w:val="24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 w:cs="David"/>
      <w:sz w:val="24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 w:cs="David"/>
      <w:sz w:val="24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 w:cs="David"/>
      <w:sz w:val="24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 w:cs="David"/>
      <w:sz w:val="24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 w:cs="David"/>
      <w:sz w:val="24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 w:cs="David"/>
      <w:sz w:val="24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5B4D0A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5B4D0A"/>
    <w:rPr>
      <w:rFonts w:ascii="Times New Roman" w:eastAsia="Times New Roman" w:hAnsi="Times New Roman" w:cs="FrankRuehl"/>
      <w:sz w:val="24"/>
      <w:szCs w:val="24"/>
    </w:rPr>
  </w:style>
  <w:style w:type="paragraph" w:styleId="aa">
    <w:name w:val="footer"/>
    <w:basedOn w:val="a"/>
    <w:link w:val="ab"/>
    <w:rsid w:val="005B4D0A"/>
    <w:pPr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5B4D0A"/>
    <w:rPr>
      <w:rFonts w:ascii="Times New Roman" w:eastAsia="Times New Roman" w:hAnsi="Times New Roman" w:cs="FrankRuehl"/>
      <w:sz w:val="24"/>
      <w:szCs w:val="24"/>
    </w:rPr>
  </w:style>
  <w:style w:type="character" w:styleId="Hyperlink">
    <w:name w:val="Hyperlink"/>
    <w:rsid w:val="005B4D0A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5B4D0A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5B4D0A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4D0A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 w:cs="David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 w:cs="David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 w:cs="David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 w:cs="David"/>
      <w:b/>
      <w:bCs/>
      <w:caps/>
      <w:spacing w:val="10"/>
      <w:sz w:val="24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 w:cs="David"/>
      <w:b/>
      <w:bCs/>
      <w:caps/>
      <w:spacing w:val="10"/>
      <w:sz w:val="24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 w:cs="David"/>
      <w:b/>
      <w:bCs/>
      <w:caps/>
      <w:spacing w:val="10"/>
      <w:sz w:val="24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 w:cs="David"/>
      <w:b/>
      <w:bCs/>
      <w:caps/>
      <w:spacing w:val="10"/>
      <w:sz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 w:cs="David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 w:cs="David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 w:cs="David"/>
      <w:i/>
      <w:iCs/>
      <w:sz w:val="24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 w:cs="David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 w:cs="David"/>
      <w:sz w:val="24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 w:cs="David"/>
      <w:sz w:val="24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 w:cs="David"/>
      <w:sz w:val="24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 w:cs="David"/>
      <w:sz w:val="24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 w:cs="David"/>
      <w:sz w:val="24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 w:cs="David"/>
      <w:sz w:val="24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 w:cs="David"/>
      <w:sz w:val="24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 w:cs="David"/>
      <w:sz w:val="24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5B4D0A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5B4D0A"/>
    <w:rPr>
      <w:rFonts w:ascii="Times New Roman" w:eastAsia="Times New Roman" w:hAnsi="Times New Roman" w:cs="FrankRuehl"/>
      <w:sz w:val="24"/>
      <w:szCs w:val="24"/>
    </w:rPr>
  </w:style>
  <w:style w:type="paragraph" w:styleId="aa">
    <w:name w:val="footer"/>
    <w:basedOn w:val="a"/>
    <w:link w:val="ab"/>
    <w:rsid w:val="005B4D0A"/>
    <w:pPr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5B4D0A"/>
    <w:rPr>
      <w:rFonts w:ascii="Times New Roman" w:eastAsia="Times New Roman" w:hAnsi="Times New Roman" w:cs="FrankRuehl"/>
      <w:sz w:val="24"/>
      <w:szCs w:val="24"/>
    </w:rPr>
  </w:style>
  <w:style w:type="character" w:styleId="Hyperlink">
    <w:name w:val="Hyperlink"/>
    <w:rsid w:val="005B4D0A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5B4D0A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5B4D0A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E231E4-EDB2-4C03-87C2-3A4C83F768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185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אסנת תורג'מן</dc:creator>
  <cp:lastModifiedBy>אסנת תורג'מן</cp:lastModifiedBy>
  <cp:revision>1</cp:revision>
  <dcterms:created xsi:type="dcterms:W3CDTF">2015-01-11T12:46:00Z</dcterms:created>
  <dcterms:modified xsi:type="dcterms:W3CDTF">2015-01-11T12:47:00Z</dcterms:modified>
</cp:coreProperties>
</file>